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4"/>
          <w:lang w:val="en-US" w:eastAsia="zh-CN"/>
        </w:rPr>
      </w:pPr>
      <w:bookmarkStart w:id="0" w:name="DocumentFor"/>
      <w:bookmarkEnd w:id="0"/>
      <w:bookmarkStart w:id="1" w:name="Title"/>
      <w:bookmarkEnd w:id="1"/>
      <w:bookmarkStart w:id="2" w:name="OLE_LINK6"/>
      <w:bookmarkStart w:id="3" w:name="OLE_LINK5"/>
      <w:r>
        <w:rPr>
          <w:rFonts w:ascii="Arial" w:hAnsi="Arial" w:cs="Arial"/>
          <w:b/>
          <w:sz w:val="24"/>
          <w:szCs w:val="24"/>
        </w:rPr>
        <w:t>3GPP TSG-RAN WG4 Meeting #</w:t>
      </w:r>
      <w:r>
        <w:t xml:space="preserve"> </w:t>
      </w:r>
      <w:r>
        <w:rPr>
          <w:rFonts w:ascii="Arial" w:hAnsi="Arial" w:cs="Arial"/>
          <w:b/>
          <w:sz w:val="24"/>
          <w:szCs w:val="24"/>
        </w:rPr>
        <w:t>9</w:t>
      </w:r>
      <w:r>
        <w:rPr>
          <w:rFonts w:hint="eastAsia" w:ascii="Arial" w:hAnsi="Arial" w:eastAsia="宋体" w:cs="Arial"/>
          <w:b/>
          <w:sz w:val="24"/>
          <w:szCs w:val="24"/>
          <w:lang w:val="en-US" w:eastAsia="zh-CN"/>
        </w:rPr>
        <w:t>9-</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R4-2108776</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May. 19-27,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On test cases for beam management in NR-U</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6.1.6.3.13</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3"/>
        </w:rPr>
        <w:t>ductio</w:t>
      </w:r>
      <w:r>
        <w:rPr>
          <w:rFonts w:ascii="Arial" w:hAnsi="Arial" w:eastAsia="宋体" w:cs="Times New Roman"/>
          <w:sz w:val="36"/>
          <w:szCs w:val="20"/>
          <w:lang w:val="en-GB"/>
        </w:rPr>
        <w:t>n</w:t>
      </w:r>
    </w:p>
    <w:p>
      <w:pPr>
        <w:rPr>
          <w:rFonts w:hint="eastAsia" w:eastAsia="宋体"/>
          <w:sz w:val="22"/>
          <w:szCs w:val="22"/>
          <w:lang w:val="en-US" w:eastAsia="zh-CN"/>
        </w:rPr>
      </w:pPr>
      <w:r>
        <w:rPr>
          <w:rFonts w:hint="eastAsia" w:eastAsia="宋体"/>
          <w:sz w:val="22"/>
          <w:szCs w:val="22"/>
          <w:lang w:val="en-US" w:eastAsia="zh-CN"/>
        </w:rPr>
        <w:t>In RAN4 98-bis-e, the third meeting to discuss performance part of NR-U, companies had some discussions on the scope of test cases, test configurations and the work plan. Company views on test cases for link recovery were captured in the WF [1] as shown below.</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rPr>
                <w:b/>
                <w:u w:val="single"/>
                <w:lang w:eastAsia="ko-KR"/>
              </w:rPr>
            </w:pPr>
            <w:r>
              <w:rPr>
                <w:b/>
                <w:u w:val="single"/>
                <w:lang w:eastAsia="ko-KR"/>
              </w:rPr>
              <w:t>CCA probabilities for link recovery test cases</w:t>
            </w:r>
          </w:p>
          <w:p>
            <w:pPr>
              <w:rPr>
                <w:lang w:eastAsia="zh-CN"/>
              </w:rPr>
            </w:pPr>
            <w:r>
              <w:rPr>
                <w:lang w:eastAsia="zh-CN"/>
              </w:rPr>
              <w:t>The following options have been discussed during the meeting:</w:t>
            </w:r>
          </w:p>
          <w:p>
            <w:pPr>
              <w:pStyle w:val="28"/>
              <w:numPr>
                <w:ilvl w:val="0"/>
                <w:numId w:val="6"/>
              </w:numPr>
              <w:rPr>
                <w:rFonts w:eastAsia="MS Mincho"/>
              </w:rPr>
            </w:pPr>
            <w:r>
              <w:t xml:space="preserve">Option 1: Set the CCA parameters in the link recovery tests for NR-U as follows. For DL LBT parameters, RAN4 should wait for the conclusion of CCA models for NR-U RRM performance requirements. </w:t>
            </w:r>
          </w:p>
          <w:p>
            <w:pPr>
              <w:pStyle w:val="74"/>
              <w:ind w:left="1780" w:firstLine="402"/>
              <w:rPr>
                <w:b/>
                <w:sz w:val="20"/>
                <w:szCs w:val="20"/>
              </w:rPr>
            </w:pPr>
            <w:r>
              <w:rPr>
                <w:b/>
                <w:sz w:val="20"/>
                <w:szCs w:val="20"/>
              </w:rPr>
              <w:t>CCA parameters in link recovery tests for NR-U</w:t>
            </w:r>
          </w:p>
          <w:tbl>
            <w:tblPr>
              <w:tblStyle w:val="20"/>
              <w:tblW w:w="6538" w:type="dxa"/>
              <w:tblInd w:w="8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4"/>
              <w:gridCol w:w="934"/>
              <w:gridCol w:w="934"/>
              <w:gridCol w:w="934"/>
              <w:gridCol w:w="934"/>
              <w:gridCol w:w="934"/>
              <w:gridCol w:w="9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trPr>
              <w:tc>
                <w:tcPr>
                  <w:tcW w:w="934" w:type="dxa"/>
                  <w:tcBorders>
                    <w:top w:val="single" w:color="auto" w:sz="4" w:space="0"/>
                    <w:left w:val="single" w:color="auto" w:sz="4" w:space="0"/>
                    <w:bottom w:val="single" w:color="auto" w:sz="4" w:space="0"/>
                    <w:right w:val="single" w:color="auto" w:sz="4" w:space="0"/>
                  </w:tcBorders>
                </w:tcPr>
                <w:p/>
              </w:tc>
              <w:tc>
                <w:tcPr>
                  <w:tcW w:w="934" w:type="dxa"/>
                  <w:tcBorders>
                    <w:top w:val="single" w:color="auto" w:sz="4" w:space="0"/>
                    <w:left w:val="single" w:color="auto" w:sz="4" w:space="0"/>
                    <w:bottom w:val="single" w:color="auto" w:sz="4" w:space="0"/>
                    <w:right w:val="single" w:color="auto" w:sz="4" w:space="0"/>
                  </w:tcBorders>
                </w:tcPr>
                <w:p/>
              </w:tc>
              <w:tc>
                <w:tcPr>
                  <w:tcW w:w="934" w:type="dxa"/>
                  <w:tcBorders>
                    <w:top w:val="single" w:color="auto" w:sz="4" w:space="0"/>
                    <w:left w:val="single" w:color="auto" w:sz="4" w:space="0"/>
                    <w:bottom w:val="single" w:color="auto" w:sz="4" w:space="0"/>
                    <w:right w:val="single" w:color="auto" w:sz="4" w:space="0"/>
                  </w:tcBorders>
                </w:tcPr>
                <w:p>
                  <w:r>
                    <w:t>T1</w:t>
                  </w:r>
                </w:p>
              </w:tc>
              <w:tc>
                <w:tcPr>
                  <w:tcW w:w="934" w:type="dxa"/>
                  <w:tcBorders>
                    <w:top w:val="single" w:color="auto" w:sz="4" w:space="0"/>
                    <w:left w:val="single" w:color="auto" w:sz="4" w:space="0"/>
                    <w:bottom w:val="single" w:color="auto" w:sz="4" w:space="0"/>
                    <w:right w:val="single" w:color="auto" w:sz="4" w:space="0"/>
                  </w:tcBorders>
                </w:tcPr>
                <w:p>
                  <w:r>
                    <w:t>T2</w:t>
                  </w:r>
                </w:p>
              </w:tc>
              <w:tc>
                <w:tcPr>
                  <w:tcW w:w="934" w:type="dxa"/>
                  <w:tcBorders>
                    <w:top w:val="single" w:color="auto" w:sz="4" w:space="0"/>
                    <w:left w:val="single" w:color="auto" w:sz="4" w:space="0"/>
                    <w:bottom w:val="single" w:color="auto" w:sz="4" w:space="0"/>
                    <w:right w:val="single" w:color="auto" w:sz="4" w:space="0"/>
                  </w:tcBorders>
                </w:tcPr>
                <w:p>
                  <w:r>
                    <w:t>T3</w:t>
                  </w:r>
                </w:p>
              </w:tc>
              <w:tc>
                <w:tcPr>
                  <w:tcW w:w="934" w:type="dxa"/>
                  <w:tcBorders>
                    <w:top w:val="single" w:color="auto" w:sz="4" w:space="0"/>
                    <w:left w:val="single" w:color="auto" w:sz="4" w:space="0"/>
                    <w:bottom w:val="single" w:color="auto" w:sz="4" w:space="0"/>
                    <w:right w:val="single" w:color="auto" w:sz="4" w:space="0"/>
                  </w:tcBorders>
                </w:tcPr>
                <w:p>
                  <w:r>
                    <w:t>T4</w:t>
                  </w:r>
                </w:p>
              </w:tc>
              <w:tc>
                <w:tcPr>
                  <w:tcW w:w="934" w:type="dxa"/>
                  <w:tcBorders>
                    <w:top w:val="single" w:color="auto" w:sz="4" w:space="0"/>
                    <w:left w:val="single" w:color="auto" w:sz="4" w:space="0"/>
                    <w:bottom w:val="single" w:color="auto" w:sz="4" w:space="0"/>
                    <w:right w:val="single" w:color="auto" w:sz="4" w:space="0"/>
                  </w:tcBorders>
                </w:tcPr>
                <w:p>
                  <w:r>
                    <w:t>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934" w:type="dxa"/>
                  <w:vMerge w:val="restart"/>
                  <w:tcBorders>
                    <w:top w:val="single" w:color="auto" w:sz="4" w:space="0"/>
                    <w:left w:val="single" w:color="auto" w:sz="4" w:space="0"/>
                    <w:bottom w:val="single" w:color="auto" w:sz="4" w:space="0"/>
                    <w:right w:val="single" w:color="auto" w:sz="4" w:space="0"/>
                  </w:tcBorders>
                </w:tcPr>
                <w:p>
                  <w:r>
                    <w:t>P</w:t>
                  </w:r>
                  <w:r>
                    <w:rPr>
                      <w:vertAlign w:val="subscript"/>
                    </w:rPr>
                    <w:t>CCA,DL</w:t>
                  </w:r>
                </w:p>
              </w:tc>
              <w:tc>
                <w:tcPr>
                  <w:tcW w:w="934" w:type="dxa"/>
                  <w:tcBorders>
                    <w:top w:val="single" w:color="auto" w:sz="4" w:space="0"/>
                    <w:left w:val="single" w:color="auto" w:sz="4" w:space="0"/>
                    <w:bottom w:val="single" w:color="auto" w:sz="4" w:space="0"/>
                    <w:right w:val="single" w:color="auto" w:sz="4" w:space="0"/>
                  </w:tcBorders>
                </w:tcPr>
                <w:p>
                  <w:r>
                    <w:t>semi-static channel access</w:t>
                  </w:r>
                </w:p>
              </w:tc>
              <w:tc>
                <w:tcPr>
                  <w:tcW w:w="934" w:type="dxa"/>
                  <w:tcBorders>
                    <w:top w:val="single" w:color="auto" w:sz="4" w:space="0"/>
                    <w:left w:val="single" w:color="auto" w:sz="4" w:space="0"/>
                    <w:bottom w:val="single" w:color="auto" w:sz="4" w:space="0"/>
                    <w:right w:val="single" w:color="auto" w:sz="4" w:space="0"/>
                  </w:tcBorders>
                </w:tcPr>
                <w:p>
                  <w:r>
                    <w:t>1.0</w:t>
                  </w:r>
                </w:p>
              </w:tc>
              <w:tc>
                <w:tcPr>
                  <w:tcW w:w="934" w:type="dxa"/>
                  <w:tcBorders>
                    <w:top w:val="single" w:color="auto" w:sz="4" w:space="0"/>
                    <w:left w:val="single" w:color="auto" w:sz="4" w:space="0"/>
                    <w:bottom w:val="single" w:color="auto" w:sz="4" w:space="0"/>
                    <w:right w:val="single" w:color="auto" w:sz="4" w:space="0"/>
                  </w:tcBorders>
                </w:tcPr>
                <w:p>
                  <w:r>
                    <w:t>FFS</w:t>
                  </w:r>
                </w:p>
              </w:tc>
              <w:tc>
                <w:tcPr>
                  <w:tcW w:w="934" w:type="dxa"/>
                  <w:tcBorders>
                    <w:top w:val="single" w:color="auto" w:sz="4" w:space="0"/>
                    <w:left w:val="single" w:color="auto" w:sz="4" w:space="0"/>
                    <w:bottom w:val="single" w:color="auto" w:sz="4" w:space="0"/>
                    <w:right w:val="single" w:color="auto" w:sz="4" w:space="0"/>
                  </w:tcBorders>
                </w:tcPr>
                <w:p>
                  <w:r>
                    <w:t>FFS</w:t>
                  </w:r>
                </w:p>
              </w:tc>
              <w:tc>
                <w:tcPr>
                  <w:tcW w:w="934" w:type="dxa"/>
                  <w:tcBorders>
                    <w:top w:val="single" w:color="auto" w:sz="4" w:space="0"/>
                    <w:left w:val="single" w:color="auto" w:sz="4" w:space="0"/>
                    <w:bottom w:val="single" w:color="auto" w:sz="4" w:space="0"/>
                    <w:right w:val="single" w:color="auto" w:sz="4" w:space="0"/>
                  </w:tcBorders>
                </w:tcPr>
                <w:p>
                  <w:r>
                    <w:t>FFS</w:t>
                  </w:r>
                </w:p>
              </w:tc>
              <w:tc>
                <w:tcPr>
                  <w:tcW w:w="934" w:type="dxa"/>
                  <w:tcBorders>
                    <w:top w:val="single" w:color="auto" w:sz="4" w:space="0"/>
                    <w:left w:val="single" w:color="auto" w:sz="4" w:space="0"/>
                    <w:bottom w:val="single" w:color="auto" w:sz="4" w:space="0"/>
                    <w:right w:val="single" w:color="auto" w:sz="4" w:space="0"/>
                  </w:tcBorders>
                </w:tcPr>
                <w:p>
                  <w: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pPr>
                </w:p>
              </w:tc>
              <w:tc>
                <w:tcPr>
                  <w:tcW w:w="934" w:type="dxa"/>
                  <w:tcBorders>
                    <w:top w:val="single" w:color="auto" w:sz="4" w:space="0"/>
                    <w:left w:val="single" w:color="auto" w:sz="4" w:space="0"/>
                    <w:bottom w:val="single" w:color="auto" w:sz="4" w:space="0"/>
                    <w:right w:val="single" w:color="auto" w:sz="4" w:space="0"/>
                  </w:tcBorders>
                </w:tcPr>
                <w:p>
                  <w:r>
                    <w:t>dynamic channel access</w:t>
                  </w:r>
                </w:p>
              </w:tc>
              <w:tc>
                <w:tcPr>
                  <w:tcW w:w="934" w:type="dxa"/>
                  <w:tcBorders>
                    <w:top w:val="single" w:color="auto" w:sz="4" w:space="0"/>
                    <w:left w:val="single" w:color="auto" w:sz="4" w:space="0"/>
                    <w:bottom w:val="single" w:color="auto" w:sz="4" w:space="0"/>
                    <w:right w:val="single" w:color="auto" w:sz="4" w:space="0"/>
                  </w:tcBorders>
                </w:tcPr>
                <w:p>
                  <w:r>
                    <w:t>1.0</w:t>
                  </w:r>
                </w:p>
              </w:tc>
              <w:tc>
                <w:tcPr>
                  <w:tcW w:w="934" w:type="dxa"/>
                  <w:tcBorders>
                    <w:top w:val="single" w:color="auto" w:sz="4" w:space="0"/>
                    <w:left w:val="single" w:color="auto" w:sz="4" w:space="0"/>
                    <w:bottom w:val="single" w:color="auto" w:sz="4" w:space="0"/>
                    <w:right w:val="single" w:color="auto" w:sz="4" w:space="0"/>
                  </w:tcBorders>
                </w:tcPr>
                <w:p>
                  <w:r>
                    <w:t>FFS</w:t>
                  </w:r>
                </w:p>
              </w:tc>
              <w:tc>
                <w:tcPr>
                  <w:tcW w:w="934" w:type="dxa"/>
                  <w:tcBorders>
                    <w:top w:val="single" w:color="auto" w:sz="4" w:space="0"/>
                    <w:left w:val="single" w:color="auto" w:sz="4" w:space="0"/>
                    <w:bottom w:val="single" w:color="auto" w:sz="4" w:space="0"/>
                    <w:right w:val="single" w:color="auto" w:sz="4" w:space="0"/>
                  </w:tcBorders>
                </w:tcPr>
                <w:p>
                  <w:r>
                    <w:t>FFS</w:t>
                  </w:r>
                </w:p>
              </w:tc>
              <w:tc>
                <w:tcPr>
                  <w:tcW w:w="934" w:type="dxa"/>
                  <w:tcBorders>
                    <w:top w:val="single" w:color="auto" w:sz="4" w:space="0"/>
                    <w:left w:val="single" w:color="auto" w:sz="4" w:space="0"/>
                    <w:bottom w:val="single" w:color="auto" w:sz="4" w:space="0"/>
                    <w:right w:val="single" w:color="auto" w:sz="4" w:space="0"/>
                  </w:tcBorders>
                </w:tcPr>
                <w:p>
                  <w:r>
                    <w:t>FFS</w:t>
                  </w:r>
                </w:p>
              </w:tc>
              <w:tc>
                <w:tcPr>
                  <w:tcW w:w="934" w:type="dxa"/>
                  <w:tcBorders>
                    <w:top w:val="single" w:color="auto" w:sz="4" w:space="0"/>
                    <w:left w:val="single" w:color="auto" w:sz="4" w:space="0"/>
                    <w:bottom w:val="single" w:color="auto" w:sz="4" w:space="0"/>
                    <w:right w:val="single" w:color="auto" w:sz="4" w:space="0"/>
                  </w:tcBorders>
                </w:tcPr>
                <w:p>
                  <w: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trPr>
              <w:tc>
                <w:tcPr>
                  <w:tcW w:w="934" w:type="dxa"/>
                  <w:tcBorders>
                    <w:top w:val="single" w:color="auto" w:sz="4" w:space="0"/>
                    <w:left w:val="single" w:color="auto" w:sz="4" w:space="0"/>
                    <w:bottom w:val="single" w:color="auto" w:sz="4" w:space="0"/>
                    <w:right w:val="single" w:color="auto" w:sz="4" w:space="0"/>
                  </w:tcBorders>
                </w:tcPr>
                <w:p>
                  <w:r>
                    <w:t>P</w:t>
                  </w:r>
                  <w:r>
                    <w:rPr>
                      <w:vertAlign w:val="subscript"/>
                    </w:rPr>
                    <w:t>CCA,UL</w:t>
                  </w:r>
                </w:p>
              </w:tc>
              <w:tc>
                <w:tcPr>
                  <w:tcW w:w="934" w:type="dxa"/>
                  <w:tcBorders>
                    <w:top w:val="single" w:color="auto" w:sz="4" w:space="0"/>
                    <w:left w:val="single" w:color="auto" w:sz="4" w:space="0"/>
                    <w:bottom w:val="single" w:color="auto" w:sz="4" w:space="0"/>
                    <w:right w:val="single" w:color="auto" w:sz="4" w:space="0"/>
                  </w:tcBorders>
                </w:tcPr>
                <w:p/>
              </w:tc>
              <w:tc>
                <w:tcPr>
                  <w:tcW w:w="934" w:type="dxa"/>
                  <w:tcBorders>
                    <w:top w:val="single" w:color="auto" w:sz="4" w:space="0"/>
                    <w:left w:val="single" w:color="auto" w:sz="4" w:space="0"/>
                    <w:bottom w:val="single" w:color="auto" w:sz="4" w:space="0"/>
                    <w:right w:val="single" w:color="auto" w:sz="4" w:space="0"/>
                  </w:tcBorders>
                </w:tcPr>
                <w:p>
                  <w:r>
                    <w:t>1.0</w:t>
                  </w:r>
                </w:p>
              </w:tc>
              <w:tc>
                <w:tcPr>
                  <w:tcW w:w="934" w:type="dxa"/>
                  <w:tcBorders>
                    <w:top w:val="single" w:color="auto" w:sz="4" w:space="0"/>
                    <w:left w:val="single" w:color="auto" w:sz="4" w:space="0"/>
                    <w:bottom w:val="single" w:color="auto" w:sz="4" w:space="0"/>
                    <w:right w:val="single" w:color="auto" w:sz="4" w:space="0"/>
                  </w:tcBorders>
                </w:tcPr>
                <w:p>
                  <w:r>
                    <w:t>1.0</w:t>
                  </w:r>
                </w:p>
              </w:tc>
              <w:tc>
                <w:tcPr>
                  <w:tcW w:w="934" w:type="dxa"/>
                  <w:tcBorders>
                    <w:top w:val="single" w:color="auto" w:sz="4" w:space="0"/>
                    <w:left w:val="single" w:color="auto" w:sz="4" w:space="0"/>
                    <w:bottom w:val="single" w:color="auto" w:sz="4" w:space="0"/>
                    <w:right w:val="single" w:color="auto" w:sz="4" w:space="0"/>
                  </w:tcBorders>
                </w:tcPr>
                <w:p>
                  <w:r>
                    <w:t>1.0</w:t>
                  </w:r>
                </w:p>
              </w:tc>
              <w:tc>
                <w:tcPr>
                  <w:tcW w:w="934" w:type="dxa"/>
                  <w:tcBorders>
                    <w:top w:val="single" w:color="auto" w:sz="4" w:space="0"/>
                    <w:left w:val="single" w:color="auto" w:sz="4" w:space="0"/>
                    <w:bottom w:val="single" w:color="auto" w:sz="4" w:space="0"/>
                    <w:right w:val="single" w:color="auto" w:sz="4" w:space="0"/>
                  </w:tcBorders>
                </w:tcPr>
                <w:p>
                  <w:r>
                    <w:t>1.0</w:t>
                  </w:r>
                </w:p>
              </w:tc>
              <w:tc>
                <w:tcPr>
                  <w:tcW w:w="934" w:type="dxa"/>
                  <w:tcBorders>
                    <w:top w:val="single" w:color="auto" w:sz="4" w:space="0"/>
                    <w:left w:val="single" w:color="auto" w:sz="4" w:space="0"/>
                    <w:bottom w:val="single" w:color="auto" w:sz="4" w:space="0"/>
                    <w:right w:val="single" w:color="auto" w:sz="4" w:space="0"/>
                  </w:tcBorders>
                </w:tcPr>
                <w:p>
                  <w:r>
                    <w:t>1.0</w:t>
                  </w:r>
                </w:p>
              </w:tc>
            </w:tr>
          </w:tbl>
          <w:p>
            <w:pPr>
              <w:ind w:left="208"/>
              <w:rPr>
                <w:lang w:eastAsia="zh-CN"/>
              </w:rPr>
            </w:pPr>
          </w:p>
          <w:p>
            <w:pPr>
              <w:pStyle w:val="28"/>
              <w:numPr>
                <w:ilvl w:val="0"/>
                <w:numId w:val="6"/>
              </w:numPr>
              <w:rPr>
                <w:u w:val="single"/>
                <w:lang w:eastAsia="ko-KR"/>
              </w:rPr>
            </w:pPr>
            <w:r>
              <w:t>Option 2: Set P</w:t>
            </w:r>
            <w:r>
              <w:rPr>
                <w:vertAlign w:val="subscript"/>
              </w:rPr>
              <w:t>CCA_DL</w:t>
            </w:r>
            <w:r>
              <w:t>=100% and P</w:t>
            </w:r>
            <w:r>
              <w:rPr>
                <w:vertAlign w:val="subscript"/>
              </w:rPr>
              <w:t>CCA_UL</w:t>
            </w:r>
            <w:r>
              <w:t xml:space="preserve">=100% during T1 for L1-RSRP measurement reporting tests. </w:t>
            </w:r>
          </w:p>
          <w:p>
            <w:pPr>
              <w:pStyle w:val="28"/>
              <w:numPr>
                <w:ilvl w:val="0"/>
                <w:numId w:val="6"/>
              </w:numPr>
              <w:rPr>
                <w:rFonts w:hint="eastAsia" w:eastAsia="Yu Mincho"/>
                <w:bCs/>
                <w:color w:val="C55A11" w:themeColor="accent2" w:themeShade="BF"/>
                <w:highlight w:val="none"/>
                <w:lang w:val="en-US" w:eastAsia="zh-CN"/>
              </w:rPr>
            </w:pPr>
            <w:r>
              <w:rPr>
                <w:lang w:val="en-US"/>
              </w:rPr>
              <w:t xml:space="preserve">Option 3: </w:t>
            </w:r>
            <w:r>
              <w:rPr>
                <w:rFonts w:hint="eastAsia"/>
              </w:rPr>
              <w:t>Set PCCA_DL=75% and PCCA_UL=75% during T2 for L1-RSRP measurement reporting tests.</w:t>
            </w:r>
          </w:p>
          <w:p>
            <w:pPr>
              <w:pStyle w:val="28"/>
              <w:numPr>
                <w:ilvl w:val="0"/>
                <w:numId w:val="6"/>
              </w:numPr>
              <w:rPr>
                <w:rFonts w:hint="eastAsia" w:eastAsia="Yu Mincho"/>
                <w:bCs/>
                <w:color w:val="C55A11" w:themeColor="accent2" w:themeShade="BF"/>
                <w:highlight w:val="none"/>
                <w:lang w:val="en-US" w:eastAsia="zh-CN"/>
              </w:rPr>
            </w:pPr>
            <w:r>
              <w:t>Option 4 (new, based on comments on the 1st round): Discuss and agree with the general principles of CCA modelling and the default probabilities before agreeing on test specific CCA probabilities.</w:t>
            </w:r>
          </w:p>
        </w:tc>
      </w:tr>
    </w:tbl>
    <w:p>
      <w:pPr>
        <w:pStyle w:val="38"/>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provides our view on the topic.</w:t>
      </w:r>
    </w:p>
    <w:p>
      <w:pPr>
        <w:pStyle w:val="30"/>
        <w:jc w:val="both"/>
        <w:rPr>
          <w:rFonts w:hint="default" w:eastAsia="宋体"/>
          <w:lang w:val="en-US" w:eastAsia="zh-CN"/>
        </w:rPr>
      </w:pPr>
      <w:r>
        <w:t>2</w:t>
      </w:r>
      <w:r>
        <w:tab/>
      </w:r>
      <w:r>
        <w:rPr>
          <w:rFonts w:hint="eastAsia"/>
          <w:lang w:val="en-US" w:eastAsia="zh-CN"/>
        </w:rPr>
        <w:t>Discussion</w:t>
      </w:r>
    </w:p>
    <w:p>
      <w:pPr>
        <w:rPr>
          <w:rFonts w:hint="eastAsia"/>
          <w:sz w:val="22"/>
          <w:szCs w:val="22"/>
          <w:lang w:val="en-US" w:eastAsia="zh-CN"/>
        </w:rPr>
      </w:pPr>
      <w:r>
        <w:rPr>
          <w:rFonts w:hint="eastAsia"/>
          <w:sz w:val="22"/>
          <w:szCs w:val="22"/>
          <w:lang w:val="en-US" w:eastAsia="zh-CN"/>
        </w:rPr>
        <w:t>First of all we think that Option 4 should be fine, which is to wait till the general principles of CCA models. However, as RAN4 is completing Release 16 work, we should try to also accelerate the process by making progress in parallel. Thus, we suggest to agree on Option 1, which specifies the probability of DL and UL CCA success rate under non-controversial scenarios and then further study the parameters which are not certain at this stage.</w:t>
      </w:r>
    </w:p>
    <w:p>
      <w:pPr>
        <w:rPr>
          <w:rFonts w:hint="default"/>
          <w:sz w:val="22"/>
          <w:szCs w:val="22"/>
          <w:lang w:val="en-US" w:eastAsia="zh-CN"/>
        </w:rPr>
      </w:pPr>
      <w:r>
        <w:rPr>
          <w:rFonts w:hint="eastAsia"/>
          <w:sz w:val="22"/>
          <w:szCs w:val="22"/>
          <w:lang w:val="en-US" w:eastAsia="zh-CN"/>
        </w:rPr>
        <w:t>Taking Option 1 as a starting point, we can try to complete the table during this meeting and then we will have a quite complete set of test configurations so that the draft CRs for test cases can start to be drafted.</w:t>
      </w:r>
    </w:p>
    <w:p>
      <w:pPr>
        <w:pStyle w:val="38"/>
        <w:rPr>
          <w:rFonts w:hint="default" w:eastAsia="宋体"/>
          <w:sz w:val="22"/>
          <w:szCs w:val="22"/>
          <w:lang w:val="en-US" w:eastAsia="zh-CN"/>
        </w:rPr>
      </w:pPr>
      <w:r>
        <w:rPr>
          <w:rFonts w:hint="eastAsia" w:eastAsia="宋体"/>
          <w:lang w:val="en-US" w:eastAsia="zh-CN"/>
        </w:rPr>
        <w:t>Agree on Option 1 in the WF [1]</w:t>
      </w:r>
      <w:r>
        <w:rPr>
          <w:rFonts w:hint="eastAsia" w:eastAsia="宋体"/>
          <w:sz w:val="22"/>
          <w:szCs w:val="22"/>
          <w:lang w:val="en-US" w:eastAsia="zh-CN"/>
        </w:rPr>
        <w:t>.</w:t>
      </w:r>
    </w:p>
    <w:p>
      <w:pPr>
        <w:pStyle w:val="30"/>
        <w:jc w:val="both"/>
      </w:pPr>
      <w:r>
        <w:rPr>
          <w:rFonts w:hint="eastAsia"/>
          <w:lang w:val="en-US" w:eastAsia="zh-CN"/>
        </w:rPr>
        <w:t>3</w:t>
      </w:r>
      <w:r>
        <w:tab/>
      </w:r>
      <w:r>
        <w:t>Conclusion</w:t>
      </w:r>
    </w:p>
    <w:p>
      <w:pPr>
        <w:rPr>
          <w:rFonts w:hint="eastAsia"/>
          <w:lang w:val="en-US" w:eastAsia="zh-CN"/>
        </w:rPr>
      </w:pPr>
      <w:bookmarkStart w:id="4" w:name="_GoBack"/>
      <w:bookmarkEnd w:id="4"/>
      <w:r>
        <w:rPr>
          <w:rFonts w:hint="eastAsia"/>
          <w:b/>
          <w:bCs/>
          <w:sz w:val="22"/>
          <w:szCs w:val="22"/>
          <w:lang w:val="en-US" w:eastAsia="zh-CN"/>
        </w:rPr>
        <w:t>Proposal 1: Agree on Option 1 in the WF [1]</w:t>
      </w:r>
      <w:r>
        <w:rPr>
          <w:rFonts w:hint="eastAsia" w:eastAsia="宋体"/>
          <w:b/>
          <w:bCs/>
          <w:sz w:val="22"/>
          <w:szCs w:val="22"/>
          <w:lang w:val="en-US" w:eastAsia="zh-CN"/>
        </w:rPr>
        <w:t>.</w:t>
      </w:r>
    </w:p>
    <w:p>
      <w:pPr>
        <w:pStyle w:val="30"/>
        <w:jc w:val="both"/>
      </w:pPr>
      <w:r>
        <w:t>References</w:t>
      </w:r>
    </w:p>
    <w:p>
      <w:pPr>
        <w:numPr>
          <w:ilvl w:val="0"/>
          <w:numId w:val="7"/>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R4-2105709</w:t>
      </w:r>
    </w:p>
    <w:p>
      <w:pPr>
        <w:numPr>
          <w:ilvl w:val="0"/>
          <w:numId w:val="7"/>
        </w:numPr>
        <w:overflowPunct w:val="0"/>
        <w:autoSpaceDE w:val="0"/>
        <w:autoSpaceDN w:val="0"/>
        <w:adjustRightInd w:val="0"/>
        <w:spacing w:after="120" w:line="240" w:lineRule="auto"/>
        <w:jc w:val="both"/>
        <w:textAlignment w:val="baseline"/>
        <w:rPr>
          <w:rFonts w:hint="eastAsia" w:eastAsia="宋体"/>
          <w:lang w:val="en-US" w:eastAsia="zh-CN"/>
        </w:rPr>
      </w:pP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Yu Mincho">
    <w:altName w:val="MS Mincho"/>
    <w:panose1 w:val="00000000000000000000"/>
    <w:charset w:val="80"/>
    <w:family w:val="roman"/>
    <w:pitch w:val="default"/>
    <w:sig w:usb0="00000000" w:usb1="00000000" w:usb2="00000012" w:usb3="00000000" w:csb0="0002009F" w:csb1="00000000"/>
  </w:font>
  <w:font w:name="Segoe Print">
    <w:panose1 w:val="02000600000000000000"/>
    <w:charset w:val="00"/>
    <w:family w:val="auto"/>
    <w:pitch w:val="default"/>
    <w:sig w:usb0="0000028F" w:usb1="00000000" w:usb2="00000000" w:usb3="00000000" w:csb0="2000009F" w:csb1="47010000"/>
  </w:font>
  <w:font w:name="Calibri">
    <w:panose1 w:val="020F0502020204030204"/>
    <w:charset w:val="00"/>
    <w:family w:val="swiss"/>
    <w:pitch w:val="default"/>
    <w:sig w:usb0="E10002FF" w:usb1="4000ACFF" w:usb2="00000009" w:usb3="00000000" w:csb0="2000019F" w:csb1="00000000"/>
  </w:font>
  <w:font w:name="Batang">
    <w:panose1 w:val="02030600000101010101"/>
    <w:charset w:val="81"/>
    <w:family w:val="roman"/>
    <w:pitch w:val="default"/>
    <w:sig w:usb0="B00002AF" w:usb1="69D77CFB" w:usb2="00000030" w:usb3="00000000" w:csb0="4008009F" w:csb1="DFD7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323C7153"/>
    <w:multiLevelType w:val="multilevel"/>
    <w:tmpl w:val="323C7153"/>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46B43B9D"/>
    <w:multiLevelType w:val="multilevel"/>
    <w:tmpl w:val="46B43B9D"/>
    <w:lvl w:ilvl="0" w:tentative="0">
      <w:start w:val="1"/>
      <w:numFmt w:val="decimal"/>
      <w:pStyle w:val="32"/>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6E3167"/>
    <w:multiLevelType w:val="multilevel"/>
    <w:tmpl w:val="4D6E3167"/>
    <w:lvl w:ilvl="0" w:tentative="0">
      <w:start w:val="1"/>
      <w:numFmt w:val="decimal"/>
      <w:pStyle w:val="38"/>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DA44281"/>
    <w:multiLevelType w:val="multilevel"/>
    <w:tmpl w:val="4DA44281"/>
    <w:lvl w:ilvl="0" w:tentative="0">
      <w:start w:val="1"/>
      <w:numFmt w:val="decimal"/>
      <w:pStyle w:val="34"/>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21F44A7"/>
    <w:multiLevelType w:val="multilevel"/>
    <w:tmpl w:val="521F44A7"/>
    <w:lvl w:ilvl="0" w:tentative="0">
      <w:start w:val="1"/>
      <w:numFmt w:val="bullet"/>
      <w:pStyle w:val="53"/>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0146DC0"/>
    <w:multiLevelType w:val="multilevel"/>
    <w:tmpl w:val="70146DC0"/>
    <w:lvl w:ilvl="0" w:tentative="0">
      <w:start w:val="1"/>
      <w:numFmt w:val="bullet"/>
      <w:pStyle w:val="4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2"/>
  </w:num>
  <w:num w:numId="2">
    <w:abstractNumId w:val="4"/>
  </w:num>
  <w:num w:numId="3">
    <w:abstractNumId w:val="3"/>
  </w:num>
  <w:num w:numId="4">
    <w:abstractNumId w:val="6"/>
  </w:num>
  <w:num w:numId="5">
    <w:abstractNumId w:val="5"/>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6552"/>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CE7F17"/>
    <w:rsid w:val="01FF08B3"/>
    <w:rsid w:val="028676F2"/>
    <w:rsid w:val="02B274E2"/>
    <w:rsid w:val="02BD7990"/>
    <w:rsid w:val="02C25D33"/>
    <w:rsid w:val="030809EC"/>
    <w:rsid w:val="039A1BDA"/>
    <w:rsid w:val="03AE4991"/>
    <w:rsid w:val="03C6506D"/>
    <w:rsid w:val="03F37217"/>
    <w:rsid w:val="047B40B2"/>
    <w:rsid w:val="04C77D0A"/>
    <w:rsid w:val="04D5204C"/>
    <w:rsid w:val="051F0641"/>
    <w:rsid w:val="059B61E4"/>
    <w:rsid w:val="05A86143"/>
    <w:rsid w:val="05D42FA6"/>
    <w:rsid w:val="06105DAC"/>
    <w:rsid w:val="066957D5"/>
    <w:rsid w:val="068A29F7"/>
    <w:rsid w:val="069766CC"/>
    <w:rsid w:val="06C76332"/>
    <w:rsid w:val="073B7222"/>
    <w:rsid w:val="07502CA2"/>
    <w:rsid w:val="078B76F8"/>
    <w:rsid w:val="079D410C"/>
    <w:rsid w:val="07C928A9"/>
    <w:rsid w:val="07D3429D"/>
    <w:rsid w:val="07D735D1"/>
    <w:rsid w:val="080A5373"/>
    <w:rsid w:val="08641205"/>
    <w:rsid w:val="0868025F"/>
    <w:rsid w:val="0873226E"/>
    <w:rsid w:val="08935729"/>
    <w:rsid w:val="08B13DE2"/>
    <w:rsid w:val="08C654D4"/>
    <w:rsid w:val="08CC5D10"/>
    <w:rsid w:val="092C45E6"/>
    <w:rsid w:val="09427522"/>
    <w:rsid w:val="099F556C"/>
    <w:rsid w:val="09AC0546"/>
    <w:rsid w:val="09C640C3"/>
    <w:rsid w:val="0A5763D4"/>
    <w:rsid w:val="0A7BF868"/>
    <w:rsid w:val="0A9573F8"/>
    <w:rsid w:val="0B7322DC"/>
    <w:rsid w:val="0BB77882"/>
    <w:rsid w:val="0C2A1653"/>
    <w:rsid w:val="0C3C5307"/>
    <w:rsid w:val="0C56263C"/>
    <w:rsid w:val="0C5E2B8A"/>
    <w:rsid w:val="0D102274"/>
    <w:rsid w:val="0D295CDF"/>
    <w:rsid w:val="0DA958CA"/>
    <w:rsid w:val="0DE14624"/>
    <w:rsid w:val="0DF104D3"/>
    <w:rsid w:val="0E1C586B"/>
    <w:rsid w:val="0E663DD3"/>
    <w:rsid w:val="0E8A024B"/>
    <w:rsid w:val="0ED138E6"/>
    <w:rsid w:val="0ED953E8"/>
    <w:rsid w:val="0F130B06"/>
    <w:rsid w:val="0F67780F"/>
    <w:rsid w:val="0F8F3C2A"/>
    <w:rsid w:val="0FB648CB"/>
    <w:rsid w:val="0FD0731A"/>
    <w:rsid w:val="0FF1533A"/>
    <w:rsid w:val="0FFE0AFA"/>
    <w:rsid w:val="1000683B"/>
    <w:rsid w:val="10525444"/>
    <w:rsid w:val="10732202"/>
    <w:rsid w:val="10860ED5"/>
    <w:rsid w:val="10996B78"/>
    <w:rsid w:val="10AA3C13"/>
    <w:rsid w:val="10CA41CF"/>
    <w:rsid w:val="10CD0B75"/>
    <w:rsid w:val="10EC10CC"/>
    <w:rsid w:val="110C4D24"/>
    <w:rsid w:val="11283655"/>
    <w:rsid w:val="113B0066"/>
    <w:rsid w:val="115E162B"/>
    <w:rsid w:val="11B5132B"/>
    <w:rsid w:val="11F71F3A"/>
    <w:rsid w:val="122017FC"/>
    <w:rsid w:val="12753179"/>
    <w:rsid w:val="128409CA"/>
    <w:rsid w:val="12BB3A94"/>
    <w:rsid w:val="12DA1A7D"/>
    <w:rsid w:val="12EF585C"/>
    <w:rsid w:val="13262572"/>
    <w:rsid w:val="136D11EC"/>
    <w:rsid w:val="137D50D6"/>
    <w:rsid w:val="139B3B65"/>
    <w:rsid w:val="13A62830"/>
    <w:rsid w:val="13D36053"/>
    <w:rsid w:val="13F75352"/>
    <w:rsid w:val="13FA5349"/>
    <w:rsid w:val="141E7377"/>
    <w:rsid w:val="1480544B"/>
    <w:rsid w:val="14A25B1A"/>
    <w:rsid w:val="14B36B91"/>
    <w:rsid w:val="14DE3D1B"/>
    <w:rsid w:val="15500301"/>
    <w:rsid w:val="15BB665F"/>
    <w:rsid w:val="15DD3861"/>
    <w:rsid w:val="16222725"/>
    <w:rsid w:val="162900B5"/>
    <w:rsid w:val="1634239A"/>
    <w:rsid w:val="16394032"/>
    <w:rsid w:val="164F667E"/>
    <w:rsid w:val="165D0583"/>
    <w:rsid w:val="16654289"/>
    <w:rsid w:val="16BA6C12"/>
    <w:rsid w:val="16CB37AF"/>
    <w:rsid w:val="16DB79C9"/>
    <w:rsid w:val="16F55CC6"/>
    <w:rsid w:val="17141F2D"/>
    <w:rsid w:val="17607856"/>
    <w:rsid w:val="176F5C05"/>
    <w:rsid w:val="17A076C4"/>
    <w:rsid w:val="17A62BCE"/>
    <w:rsid w:val="17E12498"/>
    <w:rsid w:val="17E826AB"/>
    <w:rsid w:val="18407C50"/>
    <w:rsid w:val="1872258F"/>
    <w:rsid w:val="18D3414F"/>
    <w:rsid w:val="18D91924"/>
    <w:rsid w:val="19831412"/>
    <w:rsid w:val="19A96435"/>
    <w:rsid w:val="19E43A3D"/>
    <w:rsid w:val="1A0B3A21"/>
    <w:rsid w:val="1A352FE3"/>
    <w:rsid w:val="1AE92343"/>
    <w:rsid w:val="1B3329B5"/>
    <w:rsid w:val="1B595D85"/>
    <w:rsid w:val="1B7F155B"/>
    <w:rsid w:val="1BAE2A00"/>
    <w:rsid w:val="1C5E2F54"/>
    <w:rsid w:val="1CA0799D"/>
    <w:rsid w:val="1CDA242C"/>
    <w:rsid w:val="1CFB2AC1"/>
    <w:rsid w:val="1D1F1294"/>
    <w:rsid w:val="1D4472B4"/>
    <w:rsid w:val="1D85535E"/>
    <w:rsid w:val="1DB22946"/>
    <w:rsid w:val="1DB41841"/>
    <w:rsid w:val="1DE45821"/>
    <w:rsid w:val="1DF64986"/>
    <w:rsid w:val="1E8806BC"/>
    <w:rsid w:val="1EA137E3"/>
    <w:rsid w:val="1EC97F44"/>
    <w:rsid w:val="1F0936F5"/>
    <w:rsid w:val="1F17474D"/>
    <w:rsid w:val="1F2B10F9"/>
    <w:rsid w:val="1F711839"/>
    <w:rsid w:val="1F8A172B"/>
    <w:rsid w:val="1FA564C4"/>
    <w:rsid w:val="200D067C"/>
    <w:rsid w:val="207E0BBB"/>
    <w:rsid w:val="20811B82"/>
    <w:rsid w:val="20A662B2"/>
    <w:rsid w:val="21091739"/>
    <w:rsid w:val="211451D0"/>
    <w:rsid w:val="211B0B99"/>
    <w:rsid w:val="21402B64"/>
    <w:rsid w:val="2151075A"/>
    <w:rsid w:val="21761654"/>
    <w:rsid w:val="2187422D"/>
    <w:rsid w:val="219E74A3"/>
    <w:rsid w:val="21A1383C"/>
    <w:rsid w:val="22271C95"/>
    <w:rsid w:val="22571B82"/>
    <w:rsid w:val="22843CEF"/>
    <w:rsid w:val="22920D1D"/>
    <w:rsid w:val="22C0245E"/>
    <w:rsid w:val="22DF0545"/>
    <w:rsid w:val="22EC3784"/>
    <w:rsid w:val="23024246"/>
    <w:rsid w:val="23353704"/>
    <w:rsid w:val="23514077"/>
    <w:rsid w:val="23855295"/>
    <w:rsid w:val="23B20773"/>
    <w:rsid w:val="23CF6D67"/>
    <w:rsid w:val="248F188B"/>
    <w:rsid w:val="24BD0518"/>
    <w:rsid w:val="24E91488"/>
    <w:rsid w:val="25077EC5"/>
    <w:rsid w:val="256A021C"/>
    <w:rsid w:val="25962669"/>
    <w:rsid w:val="25C20278"/>
    <w:rsid w:val="25C545AD"/>
    <w:rsid w:val="262D62D9"/>
    <w:rsid w:val="26681CAB"/>
    <w:rsid w:val="267E5FCE"/>
    <w:rsid w:val="26FC3E76"/>
    <w:rsid w:val="27451A4F"/>
    <w:rsid w:val="27572E0B"/>
    <w:rsid w:val="2762235C"/>
    <w:rsid w:val="276537E8"/>
    <w:rsid w:val="280C272A"/>
    <w:rsid w:val="28176D87"/>
    <w:rsid w:val="281B6C69"/>
    <w:rsid w:val="284E33F7"/>
    <w:rsid w:val="28686999"/>
    <w:rsid w:val="287A3770"/>
    <w:rsid w:val="28A011E1"/>
    <w:rsid w:val="28C759BF"/>
    <w:rsid w:val="290A138C"/>
    <w:rsid w:val="293606FA"/>
    <w:rsid w:val="29517179"/>
    <w:rsid w:val="29E7086A"/>
    <w:rsid w:val="2A1219AD"/>
    <w:rsid w:val="2A1B67DE"/>
    <w:rsid w:val="2A394321"/>
    <w:rsid w:val="2AAF72F6"/>
    <w:rsid w:val="2AE26D3F"/>
    <w:rsid w:val="2AF125AB"/>
    <w:rsid w:val="2AF8774D"/>
    <w:rsid w:val="2B067774"/>
    <w:rsid w:val="2B0F6E62"/>
    <w:rsid w:val="2B3F4136"/>
    <w:rsid w:val="2B5F7B9D"/>
    <w:rsid w:val="2B6F3DB4"/>
    <w:rsid w:val="2B7579C5"/>
    <w:rsid w:val="2BB04900"/>
    <w:rsid w:val="2C1B2490"/>
    <w:rsid w:val="2C3A3275"/>
    <w:rsid w:val="2C446157"/>
    <w:rsid w:val="2C495744"/>
    <w:rsid w:val="2CEE6B8D"/>
    <w:rsid w:val="2D233DAE"/>
    <w:rsid w:val="2D8E403A"/>
    <w:rsid w:val="2DF9626C"/>
    <w:rsid w:val="2E145F76"/>
    <w:rsid w:val="2EA86D09"/>
    <w:rsid w:val="2ECE747D"/>
    <w:rsid w:val="2F32226B"/>
    <w:rsid w:val="2F376D10"/>
    <w:rsid w:val="2FA231C5"/>
    <w:rsid w:val="308B65F2"/>
    <w:rsid w:val="30A8626C"/>
    <w:rsid w:val="30A9337F"/>
    <w:rsid w:val="30F5782F"/>
    <w:rsid w:val="3117229F"/>
    <w:rsid w:val="31395268"/>
    <w:rsid w:val="316D08AD"/>
    <w:rsid w:val="31A50177"/>
    <w:rsid w:val="31DD775A"/>
    <w:rsid w:val="31ED10C9"/>
    <w:rsid w:val="320F0A18"/>
    <w:rsid w:val="32351CB2"/>
    <w:rsid w:val="324554E5"/>
    <w:rsid w:val="325D2B5A"/>
    <w:rsid w:val="327661FC"/>
    <w:rsid w:val="32B33B5A"/>
    <w:rsid w:val="32EE27B2"/>
    <w:rsid w:val="330951BE"/>
    <w:rsid w:val="33372789"/>
    <w:rsid w:val="333876C2"/>
    <w:rsid w:val="33484A1E"/>
    <w:rsid w:val="335F47E9"/>
    <w:rsid w:val="33CD00C7"/>
    <w:rsid w:val="33FB17D8"/>
    <w:rsid w:val="346E4104"/>
    <w:rsid w:val="3476470C"/>
    <w:rsid w:val="34D83C16"/>
    <w:rsid w:val="34F42A3D"/>
    <w:rsid w:val="3509315E"/>
    <w:rsid w:val="351A4CC6"/>
    <w:rsid w:val="3696777F"/>
    <w:rsid w:val="37630A6C"/>
    <w:rsid w:val="37705F34"/>
    <w:rsid w:val="377700B0"/>
    <w:rsid w:val="37857872"/>
    <w:rsid w:val="37AF7036"/>
    <w:rsid w:val="380927B5"/>
    <w:rsid w:val="381F0B0E"/>
    <w:rsid w:val="382139EC"/>
    <w:rsid w:val="3876150B"/>
    <w:rsid w:val="38831E00"/>
    <w:rsid w:val="38EF03A6"/>
    <w:rsid w:val="38F0125F"/>
    <w:rsid w:val="3900577A"/>
    <w:rsid w:val="392739EA"/>
    <w:rsid w:val="392D38AD"/>
    <w:rsid w:val="3946679B"/>
    <w:rsid w:val="394D1646"/>
    <w:rsid w:val="399A43EA"/>
    <w:rsid w:val="3A0F1960"/>
    <w:rsid w:val="3A166029"/>
    <w:rsid w:val="3A431070"/>
    <w:rsid w:val="3A6B6F88"/>
    <w:rsid w:val="3AC125B3"/>
    <w:rsid w:val="3AF216E5"/>
    <w:rsid w:val="3B0B15C3"/>
    <w:rsid w:val="3B30671A"/>
    <w:rsid w:val="3B5662AC"/>
    <w:rsid w:val="3B981241"/>
    <w:rsid w:val="3BB906EA"/>
    <w:rsid w:val="3BBB2E68"/>
    <w:rsid w:val="3C2F6338"/>
    <w:rsid w:val="3C5B2EB3"/>
    <w:rsid w:val="3C770857"/>
    <w:rsid w:val="3CC5729E"/>
    <w:rsid w:val="3CCE203C"/>
    <w:rsid w:val="3D087EC6"/>
    <w:rsid w:val="3D0C1655"/>
    <w:rsid w:val="3D4E48C8"/>
    <w:rsid w:val="3D50421B"/>
    <w:rsid w:val="3D77737D"/>
    <w:rsid w:val="3DC04E13"/>
    <w:rsid w:val="3DD244E7"/>
    <w:rsid w:val="3E132617"/>
    <w:rsid w:val="3E1747FA"/>
    <w:rsid w:val="3E5B41D6"/>
    <w:rsid w:val="3E964B98"/>
    <w:rsid w:val="3EB25D8B"/>
    <w:rsid w:val="3ECE16FA"/>
    <w:rsid w:val="3F0718A8"/>
    <w:rsid w:val="3F3542FD"/>
    <w:rsid w:val="3F4118C8"/>
    <w:rsid w:val="3F5C676A"/>
    <w:rsid w:val="3FF210E8"/>
    <w:rsid w:val="3FF55768"/>
    <w:rsid w:val="40093B4F"/>
    <w:rsid w:val="40462AC9"/>
    <w:rsid w:val="40566CBF"/>
    <w:rsid w:val="40776BAF"/>
    <w:rsid w:val="407921CE"/>
    <w:rsid w:val="40C04FE0"/>
    <w:rsid w:val="40CD1B83"/>
    <w:rsid w:val="411825B6"/>
    <w:rsid w:val="41AA7137"/>
    <w:rsid w:val="41EC58FB"/>
    <w:rsid w:val="41F931F1"/>
    <w:rsid w:val="41FB4557"/>
    <w:rsid w:val="4231331F"/>
    <w:rsid w:val="42381A71"/>
    <w:rsid w:val="426B0C9E"/>
    <w:rsid w:val="42841694"/>
    <w:rsid w:val="429266C7"/>
    <w:rsid w:val="42AF1322"/>
    <w:rsid w:val="42B30ACF"/>
    <w:rsid w:val="42E73C10"/>
    <w:rsid w:val="43364422"/>
    <w:rsid w:val="43BC4F26"/>
    <w:rsid w:val="43EE582E"/>
    <w:rsid w:val="43FB3DA4"/>
    <w:rsid w:val="441C4006"/>
    <w:rsid w:val="449E489D"/>
    <w:rsid w:val="44B24294"/>
    <w:rsid w:val="44CF520F"/>
    <w:rsid w:val="44D50483"/>
    <w:rsid w:val="451019FB"/>
    <w:rsid w:val="45254259"/>
    <w:rsid w:val="45361837"/>
    <w:rsid w:val="4543370D"/>
    <w:rsid w:val="455B13AC"/>
    <w:rsid w:val="45CF3CD0"/>
    <w:rsid w:val="460567D8"/>
    <w:rsid w:val="4626023B"/>
    <w:rsid w:val="462F25DF"/>
    <w:rsid w:val="46620161"/>
    <w:rsid w:val="46C17C69"/>
    <w:rsid w:val="46E63986"/>
    <w:rsid w:val="46FC7DAE"/>
    <w:rsid w:val="47971B97"/>
    <w:rsid w:val="479F63EE"/>
    <w:rsid w:val="47C304FD"/>
    <w:rsid w:val="47C357A6"/>
    <w:rsid w:val="47D77F02"/>
    <w:rsid w:val="4815186D"/>
    <w:rsid w:val="48317030"/>
    <w:rsid w:val="485A4BA7"/>
    <w:rsid w:val="487C3875"/>
    <w:rsid w:val="48977283"/>
    <w:rsid w:val="48FA3778"/>
    <w:rsid w:val="4975258C"/>
    <w:rsid w:val="49896512"/>
    <w:rsid w:val="4996414B"/>
    <w:rsid w:val="49987D21"/>
    <w:rsid w:val="49AB0658"/>
    <w:rsid w:val="49BA3D71"/>
    <w:rsid w:val="4A1213FB"/>
    <w:rsid w:val="4A5C70F1"/>
    <w:rsid w:val="4AAD275D"/>
    <w:rsid w:val="4AB61A05"/>
    <w:rsid w:val="4AF26B9D"/>
    <w:rsid w:val="4B48494A"/>
    <w:rsid w:val="4B7E5274"/>
    <w:rsid w:val="4BB65435"/>
    <w:rsid w:val="4BCE1489"/>
    <w:rsid w:val="4BCF7E55"/>
    <w:rsid w:val="4BEA1EE4"/>
    <w:rsid w:val="4C293566"/>
    <w:rsid w:val="4C4E4313"/>
    <w:rsid w:val="4C553BEB"/>
    <w:rsid w:val="4C723787"/>
    <w:rsid w:val="4C783FE1"/>
    <w:rsid w:val="4CF05EAC"/>
    <w:rsid w:val="4D102CB4"/>
    <w:rsid w:val="4D9E609E"/>
    <w:rsid w:val="4E0243C8"/>
    <w:rsid w:val="4E345636"/>
    <w:rsid w:val="4E652C5C"/>
    <w:rsid w:val="4E9105E7"/>
    <w:rsid w:val="4EB053BD"/>
    <w:rsid w:val="4F7B21BC"/>
    <w:rsid w:val="4FBC6FAF"/>
    <w:rsid w:val="4FDC68F3"/>
    <w:rsid w:val="4FFF46BE"/>
    <w:rsid w:val="50005DA1"/>
    <w:rsid w:val="5041435B"/>
    <w:rsid w:val="50564CCA"/>
    <w:rsid w:val="505A1CB0"/>
    <w:rsid w:val="5090049B"/>
    <w:rsid w:val="509778C7"/>
    <w:rsid w:val="51773E2A"/>
    <w:rsid w:val="51A40397"/>
    <w:rsid w:val="51C53170"/>
    <w:rsid w:val="522E57F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5CE50F9"/>
    <w:rsid w:val="561E43E8"/>
    <w:rsid w:val="56243301"/>
    <w:rsid w:val="567B20DA"/>
    <w:rsid w:val="56943FE8"/>
    <w:rsid w:val="56DA5A5F"/>
    <w:rsid w:val="577E3F1D"/>
    <w:rsid w:val="57C70008"/>
    <w:rsid w:val="584766BE"/>
    <w:rsid w:val="586B2608"/>
    <w:rsid w:val="5879595C"/>
    <w:rsid w:val="588331BE"/>
    <w:rsid w:val="592D7AE2"/>
    <w:rsid w:val="593554F0"/>
    <w:rsid w:val="59F967B7"/>
    <w:rsid w:val="5A194DBF"/>
    <w:rsid w:val="5A1D739C"/>
    <w:rsid w:val="5A290F0A"/>
    <w:rsid w:val="5A3078C5"/>
    <w:rsid w:val="5A3D12C9"/>
    <w:rsid w:val="5ADF3A74"/>
    <w:rsid w:val="5AE53367"/>
    <w:rsid w:val="5B0B0083"/>
    <w:rsid w:val="5B1254E6"/>
    <w:rsid w:val="5BC3228B"/>
    <w:rsid w:val="5BFC28DA"/>
    <w:rsid w:val="5C3B1FEA"/>
    <w:rsid w:val="5C6A01BF"/>
    <w:rsid w:val="5CEB6783"/>
    <w:rsid w:val="5D041ECD"/>
    <w:rsid w:val="5D193935"/>
    <w:rsid w:val="5D5E1AC8"/>
    <w:rsid w:val="5DE46FC7"/>
    <w:rsid w:val="5E051414"/>
    <w:rsid w:val="5E206741"/>
    <w:rsid w:val="5E2D4C21"/>
    <w:rsid w:val="5E820037"/>
    <w:rsid w:val="5EB31FE8"/>
    <w:rsid w:val="5EE41E2E"/>
    <w:rsid w:val="5F0F00DA"/>
    <w:rsid w:val="60017F85"/>
    <w:rsid w:val="60032276"/>
    <w:rsid w:val="6045086B"/>
    <w:rsid w:val="60745B63"/>
    <w:rsid w:val="60AC01F6"/>
    <w:rsid w:val="60F64A32"/>
    <w:rsid w:val="61051332"/>
    <w:rsid w:val="614C1B41"/>
    <w:rsid w:val="62812953"/>
    <w:rsid w:val="62B7743E"/>
    <w:rsid w:val="62B8352F"/>
    <w:rsid w:val="62EF63FA"/>
    <w:rsid w:val="63061571"/>
    <w:rsid w:val="632B39DC"/>
    <w:rsid w:val="64116858"/>
    <w:rsid w:val="64550D9E"/>
    <w:rsid w:val="64574FF6"/>
    <w:rsid w:val="648D5222"/>
    <w:rsid w:val="64B2258D"/>
    <w:rsid w:val="64E30C9E"/>
    <w:rsid w:val="64E86D2F"/>
    <w:rsid w:val="650A41B7"/>
    <w:rsid w:val="6577229E"/>
    <w:rsid w:val="657C25FC"/>
    <w:rsid w:val="65997784"/>
    <w:rsid w:val="659D663D"/>
    <w:rsid w:val="65A976E6"/>
    <w:rsid w:val="65C64C37"/>
    <w:rsid w:val="65D01190"/>
    <w:rsid w:val="66197BB5"/>
    <w:rsid w:val="668830F9"/>
    <w:rsid w:val="66AB371C"/>
    <w:rsid w:val="66AE1192"/>
    <w:rsid w:val="66CA69C3"/>
    <w:rsid w:val="6709791B"/>
    <w:rsid w:val="6794708A"/>
    <w:rsid w:val="67CE0CE2"/>
    <w:rsid w:val="67DA4215"/>
    <w:rsid w:val="67E42DFA"/>
    <w:rsid w:val="67ED44CB"/>
    <w:rsid w:val="681D58BA"/>
    <w:rsid w:val="68EB3ADC"/>
    <w:rsid w:val="69240005"/>
    <w:rsid w:val="69342228"/>
    <w:rsid w:val="69462386"/>
    <w:rsid w:val="695E51BF"/>
    <w:rsid w:val="69C96ADD"/>
    <w:rsid w:val="69DC5A3B"/>
    <w:rsid w:val="69E50464"/>
    <w:rsid w:val="6A2F06BE"/>
    <w:rsid w:val="6A7016FE"/>
    <w:rsid w:val="6AFC6812"/>
    <w:rsid w:val="6B5E2EC6"/>
    <w:rsid w:val="6B7575DB"/>
    <w:rsid w:val="6C42065A"/>
    <w:rsid w:val="6C6F44FD"/>
    <w:rsid w:val="6C886583"/>
    <w:rsid w:val="6C9E7796"/>
    <w:rsid w:val="6CB759F8"/>
    <w:rsid w:val="6CD4731D"/>
    <w:rsid w:val="6D121910"/>
    <w:rsid w:val="6D3205F0"/>
    <w:rsid w:val="6D4C048E"/>
    <w:rsid w:val="6D862B60"/>
    <w:rsid w:val="6DB702B4"/>
    <w:rsid w:val="6E4462CC"/>
    <w:rsid w:val="6E504618"/>
    <w:rsid w:val="6E6D711C"/>
    <w:rsid w:val="6EB20078"/>
    <w:rsid w:val="6F5579D7"/>
    <w:rsid w:val="6F801AF8"/>
    <w:rsid w:val="6F8D5AAE"/>
    <w:rsid w:val="6FFF59CB"/>
    <w:rsid w:val="70160759"/>
    <w:rsid w:val="70200B37"/>
    <w:rsid w:val="7037013D"/>
    <w:rsid w:val="704E4A67"/>
    <w:rsid w:val="70973155"/>
    <w:rsid w:val="70995673"/>
    <w:rsid w:val="70AA0AC2"/>
    <w:rsid w:val="70AA24EA"/>
    <w:rsid w:val="70B97CE8"/>
    <w:rsid w:val="70D46C56"/>
    <w:rsid w:val="70EA7511"/>
    <w:rsid w:val="71143E21"/>
    <w:rsid w:val="71616F10"/>
    <w:rsid w:val="71C93578"/>
    <w:rsid w:val="7268714D"/>
    <w:rsid w:val="72867A39"/>
    <w:rsid w:val="72EE3608"/>
    <w:rsid w:val="72F37E30"/>
    <w:rsid w:val="7327462F"/>
    <w:rsid w:val="732F59FD"/>
    <w:rsid w:val="734B5574"/>
    <w:rsid w:val="7355417D"/>
    <w:rsid w:val="736C3FBB"/>
    <w:rsid w:val="73A85DC8"/>
    <w:rsid w:val="73C54686"/>
    <w:rsid w:val="73D14742"/>
    <w:rsid w:val="73E217DB"/>
    <w:rsid w:val="740F6E24"/>
    <w:rsid w:val="74285611"/>
    <w:rsid w:val="7430057A"/>
    <w:rsid w:val="74573DE9"/>
    <w:rsid w:val="74626087"/>
    <w:rsid w:val="749D37F7"/>
    <w:rsid w:val="74BC6C8B"/>
    <w:rsid w:val="74D53B99"/>
    <w:rsid w:val="754C1AAF"/>
    <w:rsid w:val="762B3711"/>
    <w:rsid w:val="7666525A"/>
    <w:rsid w:val="76696B17"/>
    <w:rsid w:val="76696D01"/>
    <w:rsid w:val="76991F3B"/>
    <w:rsid w:val="76BD4E1F"/>
    <w:rsid w:val="76D8737F"/>
    <w:rsid w:val="76E279D7"/>
    <w:rsid w:val="7718204C"/>
    <w:rsid w:val="772E0626"/>
    <w:rsid w:val="7752184A"/>
    <w:rsid w:val="7754709D"/>
    <w:rsid w:val="776E285A"/>
    <w:rsid w:val="77B02D8D"/>
    <w:rsid w:val="77B23404"/>
    <w:rsid w:val="77C0093D"/>
    <w:rsid w:val="77C90B9C"/>
    <w:rsid w:val="77EF22D8"/>
    <w:rsid w:val="78204380"/>
    <w:rsid w:val="78384CBC"/>
    <w:rsid w:val="784258BF"/>
    <w:rsid w:val="788F2E37"/>
    <w:rsid w:val="78E07009"/>
    <w:rsid w:val="79185E1C"/>
    <w:rsid w:val="793758F2"/>
    <w:rsid w:val="79C0590F"/>
    <w:rsid w:val="7A080BBF"/>
    <w:rsid w:val="7A4F2396"/>
    <w:rsid w:val="7A787ECB"/>
    <w:rsid w:val="7A875FC6"/>
    <w:rsid w:val="7A8B51CB"/>
    <w:rsid w:val="7A984514"/>
    <w:rsid w:val="7AB507FA"/>
    <w:rsid w:val="7AC634CB"/>
    <w:rsid w:val="7ACB482C"/>
    <w:rsid w:val="7AF137EF"/>
    <w:rsid w:val="7B0A4E24"/>
    <w:rsid w:val="7B2531D6"/>
    <w:rsid w:val="7B5B11D8"/>
    <w:rsid w:val="7C41564D"/>
    <w:rsid w:val="7C8E16C9"/>
    <w:rsid w:val="7CA10AF6"/>
    <w:rsid w:val="7CB561C0"/>
    <w:rsid w:val="7CCC277F"/>
    <w:rsid w:val="7CE3033A"/>
    <w:rsid w:val="7D0A2590"/>
    <w:rsid w:val="7D550752"/>
    <w:rsid w:val="7D6A7A29"/>
    <w:rsid w:val="7DA0035E"/>
    <w:rsid w:val="7DCC5A45"/>
    <w:rsid w:val="7E630B4F"/>
    <w:rsid w:val="7E8B6D0C"/>
    <w:rsid w:val="7EAD02B1"/>
    <w:rsid w:val="7F285EA4"/>
    <w:rsid w:val="7F5F40F5"/>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ms Rmn" w:hAnsi="Tms Rm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7"/>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6"/>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5"/>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semiHidden/>
    <w:unhideWhenUsed/>
    <w:qFormat/>
    <w:uiPriority w:val="99"/>
    <w:pPr>
      <w:ind w:left="566" w:hanging="283"/>
      <w:contextualSpacing/>
    </w:pPr>
  </w:style>
  <w:style w:type="paragraph" w:styleId="8">
    <w:name w:val="List"/>
    <w:basedOn w:val="1"/>
    <w:qFormat/>
    <w:uiPriority w:val="0"/>
    <w:pPr>
      <w:ind w:left="568" w:hanging="284"/>
    </w:pPr>
  </w:style>
  <w:style w:type="paragraph" w:styleId="9">
    <w:name w:val="caption"/>
    <w:basedOn w:val="1"/>
    <w:next w:val="1"/>
    <w:link w:val="40"/>
    <w:unhideWhenUsed/>
    <w:qFormat/>
    <w:uiPriority w:val="35"/>
    <w:pPr>
      <w:spacing w:after="200" w:line="240" w:lineRule="auto"/>
      <w:jc w:val="center"/>
    </w:pPr>
    <w:rPr>
      <w:rFonts w:ascii="Arial" w:hAnsi="Arial"/>
      <w:i/>
      <w:iCs/>
      <w:sz w:val="18"/>
      <w:szCs w:val="18"/>
    </w:rPr>
  </w:style>
  <w:style w:type="paragraph" w:styleId="10">
    <w:name w:val="annotation text"/>
    <w:basedOn w:val="1"/>
    <w:link w:val="60"/>
    <w:semiHidden/>
    <w:unhideWhenUsed/>
    <w:qFormat/>
    <w:uiPriority w:val="99"/>
    <w:pPr>
      <w:spacing w:line="240" w:lineRule="auto"/>
    </w:pPr>
    <w:rPr>
      <w:szCs w:val="20"/>
    </w:rPr>
  </w:style>
  <w:style w:type="paragraph" w:styleId="11">
    <w:name w:val="Body Text"/>
    <w:basedOn w:val="1"/>
    <w:link w:val="48"/>
    <w:semiHidden/>
    <w:unhideWhenUsed/>
    <w:qFormat/>
    <w:uiPriority w:val="0"/>
    <w:pPr>
      <w:spacing w:after="120" w:line="256" w:lineRule="auto"/>
      <w:jc w:val="both"/>
    </w:pPr>
    <w:rPr>
      <w:rFonts w:ascii="Arial" w:hAnsi="Arial"/>
      <w:sz w:val="22"/>
      <w:lang w:val="da-DK" w:eastAsia="zh-CN"/>
    </w:rPr>
  </w:style>
  <w:style w:type="paragraph" w:styleId="12">
    <w:name w:val="Balloon Text"/>
    <w:basedOn w:val="1"/>
    <w:link w:val="57"/>
    <w:semiHidden/>
    <w:unhideWhenUsed/>
    <w:qFormat/>
    <w:uiPriority w:val="99"/>
    <w:pPr>
      <w:spacing w:after="0" w:line="240" w:lineRule="auto"/>
    </w:pPr>
    <w:rPr>
      <w:rFonts w:ascii="Segoe UI" w:hAnsi="Segoe UI" w:cs="Segoe UI"/>
      <w:sz w:val="18"/>
      <w:szCs w:val="18"/>
    </w:rPr>
  </w:style>
  <w:style w:type="paragraph" w:styleId="13">
    <w:name w:val="header"/>
    <w:basedOn w:val="1"/>
    <w:link w:val="55"/>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List 5"/>
    <w:basedOn w:val="16"/>
    <w:qFormat/>
    <w:uiPriority w:val="0"/>
    <w:pPr>
      <w:ind w:left="1702"/>
    </w:pPr>
  </w:style>
  <w:style w:type="paragraph" w:styleId="16">
    <w:name w:val="List 4"/>
    <w:basedOn w:val="6"/>
    <w:qFormat/>
    <w:uiPriority w:val="0"/>
    <w:pPr>
      <w:ind w:left="1418"/>
    </w:pPr>
  </w:style>
  <w:style w:type="paragraph" w:styleId="17">
    <w:name w:val="table of figures"/>
    <w:basedOn w:val="1"/>
    <w:next w:val="1"/>
    <w:unhideWhenUsed/>
    <w:qFormat/>
    <w:uiPriority w:val="99"/>
    <w:pPr>
      <w:spacing w:after="0"/>
    </w:pPr>
  </w:style>
  <w:style w:type="paragraph" w:styleId="18">
    <w:name w:val="toc 2"/>
    <w:basedOn w:val="1"/>
    <w:next w:val="1"/>
    <w:unhideWhenUsed/>
    <w:qFormat/>
    <w:uiPriority w:val="39"/>
    <w:pPr>
      <w:spacing w:after="100"/>
      <w:ind w:left="200"/>
    </w:pPr>
  </w:style>
  <w:style w:type="paragraph" w:styleId="19">
    <w:name w:val="annotation subject"/>
    <w:basedOn w:val="10"/>
    <w:next w:val="10"/>
    <w:link w:val="61"/>
    <w:semiHidden/>
    <w:unhideWhenUsed/>
    <w:qFormat/>
    <w:uiPriority w:val="99"/>
    <w:rPr>
      <w:b/>
      <w:bCs/>
    </w:rPr>
  </w:style>
  <w:style w:type="table" w:styleId="21">
    <w:name w:val="Table Grid"/>
    <w:basedOn w:val="20"/>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FollowedHyperlink"/>
    <w:basedOn w:val="22"/>
    <w:semiHidden/>
    <w:unhideWhenUsed/>
    <w:qFormat/>
    <w:uiPriority w:val="99"/>
    <w:rPr>
      <w:color w:val="954F72" w:themeColor="followedHyperlink"/>
      <w:u w:val="single"/>
      <w14:textFill>
        <w14:solidFill>
          <w14:schemeClr w14:val="folHlink"/>
        </w14:solidFill>
      </w14:textFill>
    </w:rPr>
  </w:style>
  <w:style w:type="character" w:styleId="24">
    <w:name w:val="Hyperlink"/>
    <w:basedOn w:val="22"/>
    <w:unhideWhenUsed/>
    <w:qFormat/>
    <w:uiPriority w:val="99"/>
    <w:rPr>
      <w:color w:val="0563C1" w:themeColor="hyperlink"/>
      <w:u w:val="single"/>
      <w14:textFill>
        <w14:solidFill>
          <w14:schemeClr w14:val="hlink"/>
        </w14:solidFill>
      </w14:textFill>
    </w:rPr>
  </w:style>
  <w:style w:type="character" w:styleId="25">
    <w:name w:val="annotation reference"/>
    <w:basedOn w:val="22"/>
    <w:semiHidden/>
    <w:unhideWhenUsed/>
    <w:qFormat/>
    <w:uiPriority w:val="99"/>
    <w:rPr>
      <w:sz w:val="16"/>
      <w:szCs w:val="16"/>
    </w:rPr>
  </w:style>
  <w:style w:type="character" w:customStyle="1" w:styleId="26">
    <w:name w:val="Heading 2 Char"/>
    <w:basedOn w:val="22"/>
    <w:link w:val="3"/>
    <w:qFormat/>
    <w:uiPriority w:val="0"/>
    <w:rPr>
      <w:rFonts w:ascii="Arial" w:hAnsi="Arial" w:eastAsia="Times New Roman" w:cs="Times New Roman"/>
      <w:sz w:val="32"/>
      <w:szCs w:val="20"/>
      <w:lang w:val="en-GB"/>
    </w:rPr>
  </w:style>
  <w:style w:type="character" w:customStyle="1" w:styleId="27">
    <w:name w:val="Heading 1 Char"/>
    <w:basedOn w:val="22"/>
    <w:link w:val="2"/>
    <w:qFormat/>
    <w:uiPriority w:val="9"/>
    <w:rPr>
      <w:rFonts w:asciiTheme="majorHAnsi" w:hAnsiTheme="majorHAnsi" w:eastAsiaTheme="majorEastAsia" w:cstheme="majorBidi"/>
      <w:color w:val="2F5597" w:themeColor="accent1" w:themeShade="BF"/>
      <w:sz w:val="32"/>
      <w:szCs w:val="32"/>
    </w:rPr>
  </w:style>
  <w:style w:type="paragraph" w:styleId="28">
    <w:name w:val="List Paragraph"/>
    <w:basedOn w:val="1"/>
    <w:link w:val="35"/>
    <w:qFormat/>
    <w:uiPriority w:val="34"/>
    <w:pPr>
      <w:ind w:left="720"/>
      <w:contextualSpacing/>
    </w:pPr>
  </w:style>
  <w:style w:type="paragraph" w:customStyle="1" w:styleId="29">
    <w:name w:val="RAN4 H2"/>
    <w:basedOn w:val="3"/>
    <w:next w:val="1"/>
    <w:link w:val="31"/>
    <w:qFormat/>
    <w:uiPriority w:val="0"/>
    <w:rPr>
      <w:lang w:val="en-US"/>
    </w:rPr>
  </w:style>
  <w:style w:type="paragraph" w:customStyle="1" w:styleId="30">
    <w:name w:val="RAN4 H1"/>
    <w:basedOn w:val="1"/>
    <w:link w:val="33"/>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31">
    <w:name w:val="RAN4 H2 Char"/>
    <w:basedOn w:val="26"/>
    <w:link w:val="29"/>
    <w:qFormat/>
    <w:uiPriority w:val="0"/>
    <w:rPr>
      <w:rFonts w:ascii="Arial" w:hAnsi="Arial" w:eastAsia="Times New Roman" w:cs="Times New Roman"/>
      <w:sz w:val="32"/>
      <w:szCs w:val="20"/>
      <w:lang w:val="en-GB"/>
    </w:rPr>
  </w:style>
  <w:style w:type="paragraph" w:customStyle="1" w:styleId="32">
    <w:name w:val="RAN4 Observation"/>
    <w:basedOn w:val="28"/>
    <w:next w:val="1"/>
    <w:link w:val="36"/>
    <w:qFormat/>
    <w:uiPriority w:val="0"/>
    <w:pPr>
      <w:numPr>
        <w:ilvl w:val="0"/>
        <w:numId w:val="1"/>
      </w:numPr>
    </w:pPr>
    <w:rPr>
      <w:rFonts w:eastAsia="Calibri" w:cs="Times New Roman"/>
      <w:szCs w:val="20"/>
      <w:lang w:val="en-GB"/>
    </w:rPr>
  </w:style>
  <w:style w:type="character" w:customStyle="1" w:styleId="33">
    <w:name w:val="RAN4 H1 Char"/>
    <w:basedOn w:val="22"/>
    <w:link w:val="30"/>
    <w:qFormat/>
    <w:uiPriority w:val="0"/>
    <w:rPr>
      <w:rFonts w:ascii="Arial" w:hAnsi="Arial" w:eastAsia="宋体" w:cs="Times New Roman"/>
      <w:sz w:val="36"/>
      <w:szCs w:val="20"/>
      <w:lang w:val="en-GB"/>
    </w:rPr>
  </w:style>
  <w:style w:type="paragraph" w:customStyle="1" w:styleId="34">
    <w:name w:val="RAN4 Proposal"/>
    <w:basedOn w:val="28"/>
    <w:next w:val="1"/>
    <w:link w:val="37"/>
    <w:qFormat/>
    <w:uiPriority w:val="0"/>
    <w:pPr>
      <w:numPr>
        <w:ilvl w:val="0"/>
        <w:numId w:val="2"/>
      </w:numPr>
      <w:ind w:left="0" w:firstLine="0"/>
    </w:pPr>
    <w:rPr>
      <w:rFonts w:eastAsia="Calibri" w:cs="Times New Roman"/>
      <w:b/>
      <w:szCs w:val="20"/>
      <w:lang w:val="en-GB"/>
    </w:rPr>
  </w:style>
  <w:style w:type="character" w:customStyle="1" w:styleId="35">
    <w:name w:val="List Paragraph Char"/>
    <w:basedOn w:val="22"/>
    <w:link w:val="28"/>
    <w:qFormat/>
    <w:uiPriority w:val="34"/>
  </w:style>
  <w:style w:type="character" w:customStyle="1" w:styleId="36">
    <w:name w:val="RAN4 Observation Char"/>
    <w:basedOn w:val="35"/>
    <w:link w:val="32"/>
    <w:qFormat/>
    <w:uiPriority w:val="0"/>
    <w:rPr>
      <w:rFonts w:ascii="Times New Roman" w:hAnsi="Times New Roman" w:eastAsia="Calibri" w:cs="Times New Roman"/>
      <w:sz w:val="20"/>
      <w:szCs w:val="20"/>
      <w:lang w:val="en-GB"/>
    </w:rPr>
  </w:style>
  <w:style w:type="character" w:customStyle="1" w:styleId="37">
    <w:name w:val="RAN4 Proposal Char"/>
    <w:basedOn w:val="35"/>
    <w:link w:val="34"/>
    <w:qFormat/>
    <w:uiPriority w:val="0"/>
    <w:rPr>
      <w:rFonts w:ascii="Times New Roman" w:hAnsi="Times New Roman" w:eastAsia="Calibri" w:cs="Times New Roman"/>
      <w:b/>
      <w:sz w:val="20"/>
      <w:szCs w:val="20"/>
      <w:lang w:val="en-GB"/>
    </w:rPr>
  </w:style>
  <w:style w:type="paragraph" w:customStyle="1" w:styleId="38">
    <w:name w:val="RAN4 proposal"/>
    <w:basedOn w:val="9"/>
    <w:next w:val="1"/>
    <w:link w:val="41"/>
    <w:qFormat/>
    <w:uiPriority w:val="0"/>
    <w:pPr>
      <w:numPr>
        <w:ilvl w:val="0"/>
        <w:numId w:val="3"/>
      </w:numPr>
      <w:ind w:left="0" w:firstLine="0"/>
      <w:jc w:val="left"/>
    </w:pPr>
    <w:rPr>
      <w:rFonts w:ascii="Times New Roman" w:hAnsi="Times New Roman"/>
      <w:b/>
      <w:i w:val="0"/>
      <w:sz w:val="22"/>
    </w:rPr>
  </w:style>
  <w:style w:type="paragraph" w:customStyle="1" w:styleId="39">
    <w:name w:val="TOC Heading"/>
    <w:basedOn w:val="2"/>
    <w:next w:val="1"/>
    <w:unhideWhenUsed/>
    <w:qFormat/>
    <w:uiPriority w:val="39"/>
    <w:pPr>
      <w:outlineLvl w:val="9"/>
    </w:pPr>
  </w:style>
  <w:style w:type="character" w:customStyle="1" w:styleId="40">
    <w:name w:val="Caption Char"/>
    <w:basedOn w:val="22"/>
    <w:link w:val="9"/>
    <w:qFormat/>
    <w:uiPriority w:val="35"/>
    <w:rPr>
      <w:rFonts w:ascii="Arial" w:hAnsi="Arial"/>
      <w:i/>
      <w:iCs/>
      <w:sz w:val="18"/>
      <w:szCs w:val="18"/>
    </w:rPr>
  </w:style>
  <w:style w:type="character" w:customStyle="1" w:styleId="41">
    <w:name w:val="RAN4 proposal Char"/>
    <w:basedOn w:val="40"/>
    <w:link w:val="38"/>
    <w:qFormat/>
    <w:uiPriority w:val="0"/>
    <w:rPr>
      <w:rFonts w:ascii="Times New Roman" w:hAnsi="Times New Roman"/>
      <w:b/>
      <w:i w:val="0"/>
      <w:sz w:val="18"/>
      <w:szCs w:val="18"/>
    </w:rPr>
  </w:style>
  <w:style w:type="paragraph" w:customStyle="1" w:styleId="42">
    <w:name w:val="RAN4 observation"/>
    <w:basedOn w:val="32"/>
    <w:next w:val="1"/>
    <w:link w:val="43"/>
    <w:qFormat/>
    <w:uiPriority w:val="0"/>
    <w:pPr>
      <w:ind w:left="0" w:firstLine="0"/>
    </w:pPr>
    <w:rPr>
      <w:sz w:val="22"/>
    </w:rPr>
  </w:style>
  <w:style w:type="character" w:customStyle="1" w:styleId="43">
    <w:name w:val="RAN4 observation Char"/>
    <w:basedOn w:val="36"/>
    <w:link w:val="42"/>
    <w:qFormat/>
    <w:uiPriority w:val="0"/>
    <w:rPr>
      <w:rFonts w:ascii="Times New Roman" w:hAnsi="Times New Roman" w:eastAsia="Calibri" w:cs="Times New Roman"/>
      <w:sz w:val="20"/>
      <w:szCs w:val="20"/>
      <w:lang w:val="en-GB"/>
    </w:rPr>
  </w:style>
  <w:style w:type="character" w:customStyle="1" w:styleId="44">
    <w:name w:val="Unresolved Mention"/>
    <w:basedOn w:val="22"/>
    <w:semiHidden/>
    <w:unhideWhenUsed/>
    <w:qFormat/>
    <w:uiPriority w:val="99"/>
    <w:rPr>
      <w:color w:val="808080"/>
      <w:shd w:val="clear" w:color="auto" w:fill="E6E6E6"/>
    </w:rPr>
  </w:style>
  <w:style w:type="character" w:customStyle="1" w:styleId="45">
    <w:name w:val="Heading 4 Char"/>
    <w:basedOn w:val="22"/>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6">
    <w:name w:val="Doc-text2 Char"/>
    <w:link w:val="47"/>
    <w:qFormat/>
    <w:locked/>
    <w:uiPriority w:val="0"/>
    <w:rPr>
      <w:rFonts w:ascii="Arial" w:hAnsi="Arial" w:eastAsia="Times New Roman" w:cs="Arial"/>
      <w:lang w:val="zh-CN" w:eastAsia="zh-CN"/>
    </w:rPr>
  </w:style>
  <w:style w:type="paragraph" w:customStyle="1" w:styleId="47">
    <w:name w:val="Doc-text2"/>
    <w:basedOn w:val="1"/>
    <w:link w:val="46"/>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8">
    <w:name w:val="Body Text Char"/>
    <w:basedOn w:val="22"/>
    <w:link w:val="11"/>
    <w:semiHidden/>
    <w:qFormat/>
    <w:uiPriority w:val="0"/>
    <w:rPr>
      <w:rFonts w:ascii="Arial" w:hAnsi="Arial"/>
      <w:lang w:val="da-DK" w:eastAsia="zh-CN"/>
    </w:rPr>
  </w:style>
  <w:style w:type="paragraph" w:customStyle="1" w:styleId="49">
    <w:name w:val="Agreement"/>
    <w:basedOn w:val="1"/>
    <w:next w:val="47"/>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50">
    <w:name w:val="TAL"/>
    <w:basedOn w:val="1"/>
    <w:link w:val="51"/>
    <w:qFormat/>
    <w:uiPriority w:val="0"/>
    <w:pPr>
      <w:keepNext/>
      <w:keepLines/>
      <w:spacing w:after="0" w:line="240" w:lineRule="auto"/>
    </w:pPr>
    <w:rPr>
      <w:rFonts w:ascii="Arial" w:hAnsi="Arial" w:eastAsia="Times New Roman" w:cs="Times New Roman"/>
      <w:sz w:val="18"/>
      <w:szCs w:val="20"/>
      <w:lang w:val="en-GB"/>
    </w:rPr>
  </w:style>
  <w:style w:type="character" w:customStyle="1" w:styleId="51">
    <w:name w:val="TAL Char"/>
    <w:link w:val="50"/>
    <w:qFormat/>
    <w:locked/>
    <w:uiPriority w:val="0"/>
    <w:rPr>
      <w:rFonts w:ascii="Arial" w:hAnsi="Arial" w:eastAsia="Times New Roman" w:cs="Times New Roman"/>
      <w:sz w:val="18"/>
      <w:szCs w:val="20"/>
      <w:lang w:val="en-GB"/>
    </w:rPr>
  </w:style>
  <w:style w:type="paragraph" w:customStyle="1" w:styleId="52">
    <w:name w:val="B2"/>
    <w:basedOn w:val="7"/>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3">
    <w:name w:val="EmailDiscussion"/>
    <w:basedOn w:val="1"/>
    <w:next w:val="1"/>
    <w:link w:val="54"/>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4">
    <w:name w:val="EmailDiscussion Char"/>
    <w:link w:val="53"/>
    <w:qFormat/>
    <w:uiPriority w:val="0"/>
    <w:rPr>
      <w:rFonts w:ascii="Arial" w:hAnsi="Arial" w:eastAsia="MS Mincho" w:cs="Times New Roman"/>
      <w:b/>
      <w:sz w:val="20"/>
      <w:szCs w:val="24"/>
      <w:lang w:val="en-GB" w:eastAsia="en-GB"/>
    </w:rPr>
  </w:style>
  <w:style w:type="character" w:customStyle="1" w:styleId="55">
    <w:name w:val="Header Char"/>
    <w:basedOn w:val="22"/>
    <w:link w:val="13"/>
    <w:semiHidden/>
    <w:qFormat/>
    <w:locked/>
    <w:uiPriority w:val="0"/>
    <w:rPr>
      <w:rFonts w:ascii="Tms Rmn" w:hAnsi="Tms Rmn"/>
      <w:b/>
      <w:sz w:val="18"/>
    </w:rPr>
  </w:style>
  <w:style w:type="character" w:customStyle="1" w:styleId="56">
    <w:name w:val="Header Char1"/>
    <w:basedOn w:val="22"/>
    <w:semiHidden/>
    <w:qFormat/>
    <w:uiPriority w:val="99"/>
    <w:rPr>
      <w:rFonts w:ascii="Times New Roman" w:hAnsi="Times New Roman"/>
      <w:sz w:val="20"/>
    </w:rPr>
  </w:style>
  <w:style w:type="character" w:customStyle="1" w:styleId="57">
    <w:name w:val="Balloon Text Char"/>
    <w:basedOn w:val="22"/>
    <w:link w:val="12"/>
    <w:semiHidden/>
    <w:qFormat/>
    <w:uiPriority w:val="99"/>
    <w:rPr>
      <w:rFonts w:ascii="Segoe UI" w:hAnsi="Segoe UI" w:cs="Segoe UI"/>
      <w:sz w:val="18"/>
      <w:szCs w:val="18"/>
    </w:rPr>
  </w:style>
  <w:style w:type="character" w:customStyle="1" w:styleId="58">
    <w:name w:val="CR Cover Page Zchn"/>
    <w:link w:val="59"/>
    <w:qFormat/>
    <w:locked/>
    <w:uiPriority w:val="0"/>
    <w:rPr>
      <w:rFonts w:ascii="Arial" w:hAnsi="Arial" w:cs="Arial"/>
      <w:lang w:val="en-GB"/>
    </w:rPr>
  </w:style>
  <w:style w:type="paragraph" w:customStyle="1" w:styleId="59">
    <w:name w:val="CR Cover Page"/>
    <w:link w:val="58"/>
    <w:qFormat/>
    <w:uiPriority w:val="0"/>
    <w:pPr>
      <w:spacing w:after="120" w:line="240" w:lineRule="auto"/>
    </w:pPr>
    <w:rPr>
      <w:rFonts w:ascii="Arial" w:hAnsi="Arial" w:cs="Arial" w:eastAsiaTheme="minorHAnsi"/>
      <w:sz w:val="22"/>
      <w:szCs w:val="22"/>
      <w:lang w:val="en-GB" w:eastAsia="en-US" w:bidi="ar-SA"/>
    </w:rPr>
  </w:style>
  <w:style w:type="character" w:customStyle="1" w:styleId="60">
    <w:name w:val="Comment Text Char"/>
    <w:basedOn w:val="22"/>
    <w:link w:val="10"/>
    <w:semiHidden/>
    <w:qFormat/>
    <w:uiPriority w:val="99"/>
    <w:rPr>
      <w:rFonts w:ascii="Times New Roman" w:hAnsi="Times New Roman"/>
      <w:sz w:val="20"/>
      <w:szCs w:val="20"/>
    </w:rPr>
  </w:style>
  <w:style w:type="character" w:customStyle="1" w:styleId="61">
    <w:name w:val="Comment Subject Char"/>
    <w:basedOn w:val="60"/>
    <w:link w:val="19"/>
    <w:semiHidden/>
    <w:qFormat/>
    <w:uiPriority w:val="99"/>
    <w:rPr>
      <w:rFonts w:ascii="Times New Roman" w:hAnsi="Times New Roman"/>
      <w:b/>
      <w:bCs/>
      <w:sz w:val="20"/>
      <w:szCs w:val="20"/>
    </w:rPr>
  </w:style>
  <w:style w:type="paragraph" w:customStyle="1" w:styleId="62">
    <w:name w:val="3GPP Normal Text"/>
    <w:basedOn w:val="11"/>
    <w:link w:val="63"/>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3">
    <w:name w:val="3GPP Normal Text Char"/>
    <w:link w:val="62"/>
    <w:qFormat/>
    <w:uiPriority w:val="0"/>
    <w:rPr>
      <w:rFonts w:ascii="Times New Roman" w:hAnsi="Times New Roman" w:eastAsia="MS Mincho" w:cs="Arial"/>
      <w:sz w:val="20"/>
      <w:szCs w:val="24"/>
    </w:rPr>
  </w:style>
  <w:style w:type="paragraph" w:customStyle="1" w:styleId="64">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5">
    <w:name w:val="TH"/>
    <w:basedOn w:val="1"/>
    <w:qFormat/>
    <w:uiPriority w:val="0"/>
    <w:pPr>
      <w:keepNext/>
      <w:keepLines/>
      <w:spacing w:before="60"/>
      <w:jc w:val="center"/>
    </w:pPr>
    <w:rPr>
      <w:rFonts w:ascii="Arial" w:hAnsi="Arial"/>
      <w:b/>
      <w:lang w:eastAsia="zh-CN"/>
    </w:rPr>
  </w:style>
  <w:style w:type="paragraph" w:customStyle="1" w:styleId="66">
    <w:name w:val="NO"/>
    <w:basedOn w:val="1"/>
    <w:qFormat/>
    <w:uiPriority w:val="0"/>
    <w:pPr>
      <w:keepLines/>
      <w:ind w:left="1135" w:hanging="851"/>
    </w:pPr>
    <w:rPr>
      <w:lang w:eastAsia="zh-CN"/>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8">
    <w:name w:val="B1"/>
    <w:basedOn w:val="8"/>
    <w:qFormat/>
    <w:uiPriority w:val="0"/>
  </w:style>
  <w:style w:type="paragraph" w:customStyle="1" w:styleId="69">
    <w:name w:val="B3"/>
    <w:basedOn w:val="6"/>
    <w:qFormat/>
    <w:uiPriority w:val="0"/>
  </w:style>
  <w:style w:type="paragraph" w:customStyle="1" w:styleId="70">
    <w:name w:val="B4"/>
    <w:basedOn w:val="16"/>
    <w:qFormat/>
    <w:uiPriority w:val="0"/>
  </w:style>
  <w:style w:type="paragraph" w:customStyle="1" w:styleId="71">
    <w:name w:val="B5"/>
    <w:basedOn w:val="15"/>
    <w:qFormat/>
    <w:uiPriority w:val="0"/>
  </w:style>
  <w:style w:type="paragraph" w:customStyle="1" w:styleId="72">
    <w:name w:val="B6"/>
    <w:basedOn w:val="71"/>
    <w:qFormat/>
    <w:uiPriority w:val="0"/>
    <w:pPr>
      <w:ind w:left="1985"/>
    </w:pPr>
  </w:style>
  <w:style w:type="paragraph" w:customStyle="1" w:styleId="73">
    <w:name w:val="EQ"/>
    <w:basedOn w:val="1"/>
    <w:next w:val="1"/>
    <w:qFormat/>
    <w:uiPriority w:val="0"/>
    <w:pPr>
      <w:keepLines/>
      <w:tabs>
        <w:tab w:val="center" w:pos="4536"/>
        <w:tab w:val="right" w:pos="9072"/>
      </w:tabs>
    </w:pPr>
  </w:style>
  <w:style w:type="paragraph" w:customStyle="1" w:styleId="74">
    <w:name w:val="tal"/>
    <w:basedOn w:val="1"/>
    <w:qFormat/>
    <w:uiPriority w:val="0"/>
    <w:pPr>
      <w:overflowPunct/>
      <w:autoSpaceDE/>
      <w:autoSpaceDN/>
      <w:adjustRightInd/>
      <w:spacing w:before="100" w:beforeAutospacing="1" w:after="100" w:afterAutospacing="1" w:line="259" w:lineRule="auto"/>
      <w:textAlignment w:val="auto"/>
    </w:pPr>
    <w:rPr>
      <w:rFonts w:eastAsia="Calibri"/>
      <w:sz w:val="24"/>
      <w:szCs w:val="24"/>
      <w:lang w:val="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D117E1-8C1C-466A-8D7F-EAF64C1488C0}">
  <ds:schemaRefs/>
</ds:datastoreItem>
</file>

<file path=customXml/itemProps3.xml><?xml version="1.0" encoding="utf-8"?>
<ds:datastoreItem xmlns:ds="http://schemas.openxmlformats.org/officeDocument/2006/customXml" ds:itemID="{E8E32C24-5F96-4713-A70F-A7BA20BB6CD6}">
  <ds:schemaRefs/>
</ds:datastoreItem>
</file>

<file path=customXml/itemProps4.xml><?xml version="1.0" encoding="utf-8"?>
<ds:datastoreItem xmlns:ds="http://schemas.openxmlformats.org/officeDocument/2006/customXml" ds:itemID="{E173285D-2887-45E3-A024-3D1E71CC8E74}">
  <ds:schemaRefs/>
</ds:datastoreItem>
</file>

<file path=customXml/itemProps5.xml><?xml version="1.0" encoding="utf-8"?>
<ds:datastoreItem xmlns:ds="http://schemas.openxmlformats.org/officeDocument/2006/customXml" ds:itemID="{9B5B53C8-48A5-44AD-B897-E90CB0B8E3EC}">
  <ds:schemaRefs/>
</ds:datastoreItem>
</file>

<file path=customXml/itemProps6.xml><?xml version="1.0" encoding="utf-8"?>
<ds:datastoreItem xmlns:ds="http://schemas.openxmlformats.org/officeDocument/2006/customXml" ds:itemID="{08DA32A5-C37F-4DB0-94C0-5301A1F35695}">
  <ds:schemaRefs/>
</ds:datastoreItem>
</file>

<file path=customXml/itemProps7.xml><?xml version="1.0" encoding="utf-8"?>
<ds:datastoreItem xmlns:ds="http://schemas.openxmlformats.org/officeDocument/2006/customXml" ds:itemID="{EAA4E9F1-3478-4E48-ACB7-A0EA7CF8F594}">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2021-05-11T12:21:50Z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